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DD" w:rsidRPr="008458D3" w:rsidRDefault="008651DD" w:rsidP="008651DD">
      <w:pPr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4"/>
        <w:gridCol w:w="5540"/>
      </w:tblGrid>
      <w:tr w:rsidR="009F31EF" w:rsidRPr="008458D3" w:rsidTr="00F34D3B">
        <w:tc>
          <w:tcPr>
            <w:tcW w:w="325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Course Name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651DD" w:rsidRPr="008458D3" w:rsidRDefault="009F31EF" w:rsidP="00F34D3B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>FLUID AND THERMAL ENGINE</w:t>
            </w:r>
            <w:bookmarkStart w:id="0" w:name="_GoBack"/>
            <w:r w:rsidRPr="009F31EF">
              <w:rPr>
                <w:rFonts w:asciiTheme="majorHAnsi" w:hAnsiTheme="majorHAnsi" w:cstheme="majorHAnsi"/>
                <w:szCs w:val="21"/>
              </w:rPr>
              <w:t>ERING</w:t>
            </w:r>
            <w:bookmarkEnd w:id="0"/>
          </w:p>
        </w:tc>
      </w:tr>
      <w:tr w:rsidR="009F31EF" w:rsidRPr="008458D3" w:rsidTr="00F34D3B">
        <w:tc>
          <w:tcPr>
            <w:tcW w:w="3256" w:type="dxa"/>
            <w:shd w:val="clear" w:color="auto" w:fill="DBDBDB" w:themeFill="accent3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Instructor Name</w:t>
            </w:r>
          </w:p>
        </w:tc>
        <w:tc>
          <w:tcPr>
            <w:tcW w:w="6372" w:type="dxa"/>
          </w:tcPr>
          <w:p w:rsidR="009F31EF" w:rsidRPr="008458D3" w:rsidRDefault="009F31EF" w:rsidP="009F31EF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M. 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Kameda, </w:t>
            </w:r>
            <w:r>
              <w:rPr>
                <w:rFonts w:asciiTheme="majorHAnsi" w:hAnsiTheme="majorHAnsi" w:cstheme="majorHAnsi"/>
                <w:szCs w:val="21"/>
              </w:rPr>
              <w:t xml:space="preserve">K. 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Iwamoto, </w:t>
            </w:r>
            <w:r>
              <w:rPr>
                <w:rFonts w:asciiTheme="majorHAnsi" w:hAnsiTheme="majorHAnsi" w:cstheme="majorHAnsi"/>
                <w:szCs w:val="21"/>
              </w:rPr>
              <w:t xml:space="preserve">Y. </w:t>
            </w:r>
            <w:r>
              <w:rPr>
                <w:rFonts w:asciiTheme="majorHAnsi" w:hAnsiTheme="majorHAnsi" w:cstheme="majorHAnsi" w:hint="eastAsia"/>
                <w:szCs w:val="21"/>
              </w:rPr>
              <w:t>Ueda</w:t>
            </w:r>
            <w:r>
              <w:rPr>
                <w:rFonts w:asciiTheme="majorHAnsi" w:hAnsiTheme="majorHAnsi" w:cstheme="majorHAnsi"/>
                <w:szCs w:val="21"/>
              </w:rPr>
              <w:t>, and Y. Tagawa</w:t>
            </w:r>
          </w:p>
        </w:tc>
      </w:tr>
      <w:tr w:rsidR="009F31EF" w:rsidRPr="008458D3" w:rsidTr="00F34D3B">
        <w:tc>
          <w:tcPr>
            <w:tcW w:w="3256" w:type="dxa"/>
            <w:shd w:val="clear" w:color="auto" w:fill="DBDBDB" w:themeFill="accent3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Course Structure</w:t>
            </w:r>
          </w:p>
        </w:tc>
        <w:tc>
          <w:tcPr>
            <w:tcW w:w="6372" w:type="dxa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Lecture and </w:t>
            </w:r>
            <w:r w:rsidRPr="008458D3">
              <w:rPr>
                <w:rFonts w:asciiTheme="majorHAnsi" w:hAnsiTheme="majorHAnsi" w:cstheme="majorHAnsi"/>
                <w:szCs w:val="21"/>
              </w:rPr>
              <w:t>Exercise</w:t>
            </w:r>
          </w:p>
        </w:tc>
      </w:tr>
      <w:tr w:rsidR="009F31EF" w:rsidRPr="008458D3" w:rsidTr="00F34D3B">
        <w:tc>
          <w:tcPr>
            <w:tcW w:w="325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Course Credits</w:t>
            </w:r>
          </w:p>
        </w:tc>
        <w:tc>
          <w:tcPr>
            <w:tcW w:w="6372" w:type="dxa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3</w:t>
            </w:r>
          </w:p>
        </w:tc>
      </w:tr>
      <w:tr w:rsidR="009F31EF" w:rsidRPr="008458D3" w:rsidTr="00F34D3B">
        <w:tc>
          <w:tcPr>
            <w:tcW w:w="3256" w:type="dxa"/>
            <w:shd w:val="clear" w:color="auto" w:fill="F7CAAC" w:themeFill="accent2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Course Overview</w:t>
            </w:r>
          </w:p>
        </w:tc>
        <w:tc>
          <w:tcPr>
            <w:tcW w:w="6372" w:type="dxa"/>
          </w:tcPr>
          <w:p w:rsidR="008651DD" w:rsidRPr="008458D3" w:rsidRDefault="009F31EF" w:rsidP="009F31EF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 xml:space="preserve">The course combines the </w:t>
            </w:r>
            <w:r>
              <w:rPr>
                <w:rFonts w:asciiTheme="majorHAnsi" w:hAnsiTheme="majorHAnsi" w:cstheme="majorHAnsi"/>
                <w:szCs w:val="21"/>
              </w:rPr>
              <w:t xml:space="preserve">basic principles 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in Thermodynamics, Heat Transfer and Fluid Mechanics into one integrated subject. The course will cover: </w:t>
            </w:r>
            <w:r>
              <w:rPr>
                <w:rFonts w:asciiTheme="majorHAnsi" w:hAnsiTheme="majorHAnsi" w:cstheme="majorHAnsi"/>
                <w:szCs w:val="21"/>
              </w:rPr>
              <w:t>introductory concepts and definitions of thermodynamics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, </w:t>
            </w:r>
            <w:r>
              <w:rPr>
                <w:rFonts w:asciiTheme="majorHAnsi" w:hAnsiTheme="majorHAnsi" w:cstheme="majorHAnsi"/>
                <w:szCs w:val="21"/>
              </w:rPr>
              <w:t>f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irst </w:t>
            </w:r>
            <w:r>
              <w:rPr>
                <w:rFonts w:asciiTheme="majorHAnsi" w:hAnsiTheme="majorHAnsi" w:cstheme="majorHAnsi"/>
                <w:szCs w:val="21"/>
              </w:rPr>
              <w:t>l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aw of </w:t>
            </w:r>
            <w:r>
              <w:rPr>
                <w:rFonts w:asciiTheme="majorHAnsi" w:hAnsiTheme="majorHAnsi" w:cstheme="majorHAnsi"/>
                <w:szCs w:val="21"/>
              </w:rPr>
              <w:t>t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hermodynamics, </w:t>
            </w:r>
            <w:r>
              <w:rPr>
                <w:rFonts w:asciiTheme="majorHAnsi" w:hAnsiTheme="majorHAnsi" w:cstheme="majorHAnsi"/>
                <w:szCs w:val="21"/>
              </w:rPr>
              <w:t xml:space="preserve">evaluating properties, control volume analysis for mass and energy, Carnot cycle, </w:t>
            </w:r>
            <w:r w:rsidRPr="009F31EF">
              <w:rPr>
                <w:rFonts w:asciiTheme="majorHAnsi" w:hAnsiTheme="majorHAnsi" w:cstheme="majorHAnsi"/>
                <w:szCs w:val="21"/>
              </w:rPr>
              <w:t>fl</w:t>
            </w:r>
            <w:r>
              <w:rPr>
                <w:rFonts w:asciiTheme="majorHAnsi" w:hAnsiTheme="majorHAnsi" w:cstheme="majorHAnsi"/>
                <w:szCs w:val="21"/>
              </w:rPr>
              <w:t xml:space="preserve">uid 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statics and buoyancy, </w:t>
            </w:r>
            <w:r>
              <w:rPr>
                <w:rFonts w:asciiTheme="majorHAnsi" w:hAnsiTheme="majorHAnsi" w:cstheme="majorHAnsi"/>
                <w:szCs w:val="21"/>
              </w:rPr>
              <w:t xml:space="preserve">control volume analysis for </w:t>
            </w:r>
            <w:r w:rsidRPr="009F31EF">
              <w:rPr>
                <w:rFonts w:asciiTheme="majorHAnsi" w:hAnsiTheme="majorHAnsi" w:cstheme="majorHAnsi"/>
                <w:szCs w:val="21"/>
              </w:rPr>
              <w:t>momentum conservation, Bernoulli equations</w:t>
            </w:r>
            <w:r>
              <w:rPr>
                <w:rFonts w:asciiTheme="majorHAnsi" w:hAnsiTheme="majorHAnsi" w:cstheme="majorHAnsi"/>
                <w:szCs w:val="21"/>
              </w:rPr>
              <w:t xml:space="preserve">, and 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heat transfer modes </w:t>
            </w:r>
            <w:r>
              <w:rPr>
                <w:rFonts w:asciiTheme="majorHAnsi" w:hAnsiTheme="majorHAnsi" w:cstheme="majorHAnsi"/>
                <w:szCs w:val="21"/>
              </w:rPr>
              <w:t xml:space="preserve">including </w:t>
            </w:r>
            <w:r w:rsidRPr="009F31EF">
              <w:rPr>
                <w:rFonts w:asciiTheme="majorHAnsi" w:hAnsiTheme="majorHAnsi" w:cstheme="majorHAnsi"/>
                <w:szCs w:val="21"/>
              </w:rPr>
              <w:t xml:space="preserve">conduction, convection and radiation. Case studies based on real-world thermal systems will be used throughout the class to illustrate the connection between these interdisciplinary subjects. </w:t>
            </w:r>
          </w:p>
        </w:tc>
      </w:tr>
      <w:tr w:rsidR="009F31EF" w:rsidRPr="008458D3" w:rsidTr="00F34D3B">
        <w:tc>
          <w:tcPr>
            <w:tcW w:w="3256" w:type="dxa"/>
            <w:shd w:val="clear" w:color="auto" w:fill="F7CAAC" w:themeFill="accent2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Course Key Words</w:t>
            </w:r>
          </w:p>
        </w:tc>
        <w:tc>
          <w:tcPr>
            <w:tcW w:w="6372" w:type="dxa"/>
          </w:tcPr>
          <w:p w:rsidR="008651DD" w:rsidRPr="008458D3" w:rsidRDefault="009F31EF" w:rsidP="00F34D3B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T</w:t>
            </w:r>
            <w:r>
              <w:rPr>
                <w:rFonts w:asciiTheme="majorHAnsi" w:hAnsiTheme="majorHAnsi" w:cstheme="majorHAnsi" w:hint="eastAsia"/>
                <w:szCs w:val="21"/>
              </w:rPr>
              <w:t>hermodynamics,</w:t>
            </w:r>
            <w:r>
              <w:rPr>
                <w:rFonts w:asciiTheme="majorHAnsi" w:hAnsiTheme="majorHAnsi" w:cstheme="majorHAnsi"/>
                <w:szCs w:val="21"/>
              </w:rPr>
              <w:t xml:space="preserve"> fluid mechanics, heat transfer</w:t>
            </w:r>
          </w:p>
        </w:tc>
      </w:tr>
      <w:tr w:rsidR="009F31EF" w:rsidRPr="008458D3" w:rsidTr="00F34D3B">
        <w:tc>
          <w:tcPr>
            <w:tcW w:w="3256" w:type="dxa"/>
            <w:shd w:val="clear" w:color="auto" w:fill="F7CAAC" w:themeFill="accent2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Academic Goal</w:t>
            </w:r>
          </w:p>
        </w:tc>
        <w:tc>
          <w:tcPr>
            <w:tcW w:w="6372" w:type="dxa"/>
          </w:tcPr>
          <w:p w:rsidR="009F31EF" w:rsidRPr="009F31EF" w:rsidRDefault="009F31EF" w:rsidP="009F31EF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>Course Outcome 1: You are able to use scientific notation and engineering units for the description of fluid flow and energy transfer.</w:t>
            </w:r>
          </w:p>
          <w:p w:rsidR="009F31EF" w:rsidRPr="009F31EF" w:rsidRDefault="009F31EF" w:rsidP="009F31EF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>Course Outcome 2: You are able to interpret measurements of thermodynamic quantities for description of fluid flow and energy transfer.</w:t>
            </w:r>
          </w:p>
          <w:p w:rsidR="009F31EF" w:rsidRPr="009F31EF" w:rsidRDefault="009F31EF" w:rsidP="009F31EF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>Course Outcome 3: You are able to use concepts of continuum fluid dynamics to interpret physical situations.</w:t>
            </w:r>
          </w:p>
          <w:p w:rsidR="008651DD" w:rsidRPr="008458D3" w:rsidRDefault="009F31EF" w:rsidP="009F31EF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 xml:space="preserve">Course Outcome </w:t>
            </w:r>
            <w:r>
              <w:rPr>
                <w:rFonts w:asciiTheme="majorHAnsi" w:hAnsiTheme="majorHAnsi" w:cstheme="majorHAnsi"/>
                <w:szCs w:val="21"/>
              </w:rPr>
              <w:t>4</w:t>
            </w:r>
            <w:r w:rsidRPr="009F31EF">
              <w:rPr>
                <w:rFonts w:asciiTheme="majorHAnsi" w:hAnsiTheme="majorHAnsi" w:cstheme="majorHAnsi"/>
                <w:szCs w:val="21"/>
              </w:rPr>
              <w:t>: You are able to apply thermodynamics to the analysis of energy conversion and cooling/heating situations.</w:t>
            </w:r>
          </w:p>
        </w:tc>
      </w:tr>
      <w:tr w:rsidR="009F31EF" w:rsidRPr="008458D3" w:rsidTr="00F34D3B">
        <w:tc>
          <w:tcPr>
            <w:tcW w:w="32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Course Schedule</w:t>
            </w: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72" w:type="dxa"/>
          </w:tcPr>
          <w:p w:rsidR="008651DD" w:rsidRPr="008458D3" w:rsidRDefault="008651DD" w:rsidP="009F31EF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 xml:space="preserve">Week 1. </w:t>
            </w:r>
            <w:r w:rsidR="009F31EF">
              <w:rPr>
                <w:rFonts w:asciiTheme="majorHAnsi" w:hAnsiTheme="majorHAnsi" w:cstheme="majorHAnsi"/>
                <w:szCs w:val="21"/>
              </w:rPr>
              <w:t>Introductory concepts and definitions of thermodynamics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.  2. </w:t>
            </w:r>
            <w:r w:rsidR="009F31EF">
              <w:rPr>
                <w:rFonts w:asciiTheme="majorHAnsi" w:hAnsiTheme="majorHAnsi" w:cstheme="majorHAnsi"/>
                <w:szCs w:val="21"/>
              </w:rPr>
              <w:t>First law of thermodynamics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 3. </w:t>
            </w:r>
            <w:r w:rsidR="009F31EF">
              <w:rPr>
                <w:rFonts w:asciiTheme="majorHAnsi" w:hAnsiTheme="majorHAnsi" w:cstheme="majorHAnsi"/>
                <w:szCs w:val="21"/>
              </w:rPr>
              <w:t>P-V-T relation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9F31EF">
              <w:rPr>
                <w:rFonts w:asciiTheme="majorHAnsi" w:hAnsiTheme="majorHAnsi" w:cstheme="majorHAnsi"/>
                <w:szCs w:val="21"/>
              </w:rPr>
              <w:t>4</w:t>
            </w:r>
            <w:r w:rsidRPr="008458D3">
              <w:rPr>
                <w:rFonts w:asciiTheme="majorHAnsi" w:hAnsiTheme="majorHAnsi" w:cstheme="majorHAnsi"/>
                <w:szCs w:val="21"/>
              </w:rPr>
              <w:t>.</w:t>
            </w:r>
            <w:r w:rsidR="009F31EF">
              <w:rPr>
                <w:rFonts w:asciiTheme="majorHAnsi" w:hAnsiTheme="majorHAnsi" w:cstheme="majorHAnsi"/>
                <w:szCs w:val="21"/>
              </w:rPr>
              <w:t>Conservatin of mass for a control volume 5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="009F31EF">
              <w:rPr>
                <w:rFonts w:asciiTheme="majorHAnsi" w:hAnsiTheme="majorHAnsi" w:cstheme="majorHAnsi"/>
                <w:szCs w:val="21"/>
              </w:rPr>
              <w:t>Conservation of energy for a control volume 6</w:t>
            </w:r>
            <w:r w:rsidR="009F31EF" w:rsidRPr="008458D3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="009F31EF">
              <w:rPr>
                <w:rFonts w:asciiTheme="majorHAnsi" w:hAnsiTheme="majorHAnsi" w:cstheme="majorHAnsi"/>
                <w:szCs w:val="21"/>
              </w:rPr>
              <w:t>Evaluating properties using the ideal gas model</w:t>
            </w:r>
            <w:r w:rsidR="009F31EF" w:rsidRPr="008458D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8458D3">
              <w:rPr>
                <w:rFonts w:asciiTheme="majorHAnsi" w:hAnsiTheme="majorHAnsi" w:cstheme="majorHAnsi"/>
                <w:szCs w:val="21"/>
              </w:rPr>
              <w:t>7.</w:t>
            </w:r>
            <w:r w:rsidR="009F31EF">
              <w:rPr>
                <w:rFonts w:asciiTheme="majorHAnsi" w:hAnsiTheme="majorHAnsi" w:cstheme="majorHAnsi"/>
                <w:szCs w:val="21"/>
              </w:rPr>
              <w:t>Carnot cycle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 8. </w:t>
            </w:r>
            <w:r w:rsidR="009F31EF">
              <w:rPr>
                <w:rFonts w:asciiTheme="majorHAnsi" w:hAnsiTheme="majorHAnsi" w:cstheme="majorHAnsi"/>
                <w:szCs w:val="21"/>
              </w:rPr>
              <w:t>Fluid statics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 9. </w:t>
            </w:r>
            <w:r w:rsidR="009F31EF">
              <w:rPr>
                <w:rFonts w:asciiTheme="majorHAnsi" w:hAnsiTheme="majorHAnsi" w:cstheme="majorHAnsi"/>
                <w:szCs w:val="21"/>
              </w:rPr>
              <w:t>Conservation of momentum for a control volume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 10. </w:t>
            </w:r>
            <w:r w:rsidR="009F31EF">
              <w:rPr>
                <w:rFonts w:asciiTheme="majorHAnsi" w:hAnsiTheme="majorHAnsi" w:cstheme="majorHAnsi"/>
                <w:szCs w:val="21"/>
              </w:rPr>
              <w:t>The Bernoulli equation</w:t>
            </w:r>
            <w:r w:rsidRPr="008458D3">
              <w:rPr>
                <w:rFonts w:asciiTheme="majorHAnsi" w:hAnsiTheme="majorHAnsi" w:cstheme="majorHAnsi"/>
                <w:szCs w:val="21"/>
              </w:rPr>
              <w:t xml:space="preserve"> 11. </w:t>
            </w:r>
            <w:r w:rsidR="009F31EF">
              <w:rPr>
                <w:rFonts w:asciiTheme="majorHAnsi" w:hAnsiTheme="majorHAnsi" w:cstheme="majorHAnsi"/>
                <w:szCs w:val="21"/>
              </w:rPr>
              <w:t xml:space="preserve">Heat transfer </w:t>
            </w:r>
            <w:r w:rsidR="009F31EF">
              <w:rPr>
                <w:rFonts w:asciiTheme="majorHAnsi" w:hAnsiTheme="majorHAnsi" w:cstheme="majorHAnsi"/>
                <w:szCs w:val="21"/>
              </w:rPr>
              <w:lastRenderedPageBreak/>
              <w:t>modes: conduction, convection, and radiation</w:t>
            </w:r>
          </w:p>
        </w:tc>
      </w:tr>
      <w:tr w:rsidR="009F31EF" w:rsidRPr="008458D3" w:rsidTr="00F34D3B">
        <w:tc>
          <w:tcPr>
            <w:tcW w:w="3256" w:type="dxa"/>
            <w:shd w:val="clear" w:color="auto" w:fill="FFE599" w:themeFill="accent4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lastRenderedPageBreak/>
              <w:t xml:space="preserve">Textbooks, References, </w:t>
            </w: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and Supplementary Materials</w:t>
            </w:r>
          </w:p>
        </w:tc>
        <w:tc>
          <w:tcPr>
            <w:tcW w:w="6372" w:type="dxa"/>
          </w:tcPr>
          <w:p w:rsidR="008651DD" w:rsidRPr="008458D3" w:rsidRDefault="009F31EF" w:rsidP="00F34D3B">
            <w:pPr>
              <w:rPr>
                <w:rFonts w:asciiTheme="majorHAnsi" w:hAnsiTheme="majorHAnsi" w:cstheme="majorHAnsi"/>
                <w:szCs w:val="21"/>
              </w:rPr>
            </w:pPr>
            <w:r w:rsidRPr="009F31EF">
              <w:rPr>
                <w:rFonts w:asciiTheme="majorHAnsi" w:hAnsiTheme="majorHAnsi" w:cstheme="majorHAnsi"/>
                <w:szCs w:val="21"/>
              </w:rPr>
              <w:t>M. J. Moran, H. N. Shapiro, B. R. Munson, and D. P. DeWitt, Introduction to Thermal Systems Engineering – Thermodynamics, Fluid Mechanics, and Heat Transfer, (ISBN 0-471-20490-0), John Wiley &amp; Sons, 2003.</w:t>
            </w:r>
          </w:p>
        </w:tc>
      </w:tr>
      <w:tr w:rsidR="009F31EF" w:rsidRPr="008458D3" w:rsidTr="00F34D3B">
        <w:tc>
          <w:tcPr>
            <w:tcW w:w="3256" w:type="dxa"/>
            <w:shd w:val="clear" w:color="auto" w:fill="FFE599" w:themeFill="accent4" w:themeFillTint="66"/>
          </w:tcPr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Grading Philosophy</w:t>
            </w:r>
          </w:p>
          <w:p w:rsidR="008651DD" w:rsidRPr="008458D3" w:rsidRDefault="008651DD" w:rsidP="00F34D3B">
            <w:pPr>
              <w:rPr>
                <w:rFonts w:asciiTheme="majorHAnsi" w:hAnsiTheme="majorHAnsi" w:cstheme="majorHAnsi"/>
                <w:szCs w:val="21"/>
              </w:rPr>
            </w:pPr>
            <w:r w:rsidRPr="008458D3">
              <w:rPr>
                <w:rFonts w:asciiTheme="majorHAnsi" w:hAnsiTheme="majorHAnsi" w:cstheme="majorHAnsi"/>
                <w:szCs w:val="21"/>
              </w:rPr>
              <w:t>(Percentage / Criteria / Methodology)</w:t>
            </w:r>
          </w:p>
        </w:tc>
        <w:tc>
          <w:tcPr>
            <w:tcW w:w="6372" w:type="dxa"/>
          </w:tcPr>
          <w:p w:rsidR="008651DD" w:rsidRPr="008458D3" w:rsidRDefault="007B014F" w:rsidP="009F31EF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Classwork e</w:t>
            </w:r>
            <w:r w:rsidR="008651DD" w:rsidRPr="008458D3">
              <w:rPr>
                <w:rFonts w:asciiTheme="majorHAnsi" w:hAnsiTheme="majorHAnsi" w:cstheme="majorHAnsi"/>
                <w:szCs w:val="21"/>
              </w:rPr>
              <w:t>xercises 2</w:t>
            </w:r>
            <w:r w:rsidR="009F31EF">
              <w:rPr>
                <w:rFonts w:asciiTheme="majorHAnsi" w:hAnsiTheme="majorHAnsi" w:cstheme="majorHAnsi"/>
                <w:szCs w:val="21"/>
              </w:rPr>
              <w:t>5</w:t>
            </w:r>
            <w:r w:rsidR="008651DD" w:rsidRPr="008458D3">
              <w:rPr>
                <w:rFonts w:asciiTheme="majorHAnsi" w:hAnsiTheme="majorHAnsi" w:cstheme="majorHAnsi"/>
                <w:szCs w:val="21"/>
              </w:rPr>
              <w:t xml:space="preserve">%, Examinations </w:t>
            </w:r>
            <w:r w:rsidR="009F31EF">
              <w:rPr>
                <w:rFonts w:asciiTheme="majorHAnsi" w:hAnsiTheme="majorHAnsi" w:cstheme="majorHAnsi"/>
                <w:szCs w:val="21"/>
              </w:rPr>
              <w:t>75</w:t>
            </w:r>
            <w:r w:rsidR="008651DD" w:rsidRPr="008458D3">
              <w:rPr>
                <w:rFonts w:asciiTheme="majorHAnsi" w:hAnsiTheme="majorHAnsi" w:cstheme="majorHAnsi"/>
                <w:szCs w:val="21"/>
              </w:rPr>
              <w:t>%</w:t>
            </w:r>
          </w:p>
        </w:tc>
      </w:tr>
    </w:tbl>
    <w:p w:rsidR="00A00DB1" w:rsidRDefault="00A00DB1"/>
    <w:sectPr w:rsidR="00A00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41" w:rsidRDefault="00DE6141" w:rsidP="007B014F">
      <w:r>
        <w:separator/>
      </w:r>
    </w:p>
  </w:endnote>
  <w:endnote w:type="continuationSeparator" w:id="0">
    <w:p w:rsidR="00DE6141" w:rsidRDefault="00DE6141" w:rsidP="007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41" w:rsidRDefault="00DE6141" w:rsidP="007B014F">
      <w:r>
        <w:separator/>
      </w:r>
    </w:p>
  </w:footnote>
  <w:footnote w:type="continuationSeparator" w:id="0">
    <w:p w:rsidR="00DE6141" w:rsidRDefault="00DE6141" w:rsidP="007B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D"/>
    <w:rsid w:val="00283459"/>
    <w:rsid w:val="007B014F"/>
    <w:rsid w:val="008651DD"/>
    <w:rsid w:val="009F31EF"/>
    <w:rsid w:val="00A00DB1"/>
    <w:rsid w:val="00A34811"/>
    <w:rsid w:val="00CE4584"/>
    <w:rsid w:val="00D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85C2E-1E31-434B-8697-A3F47AD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DD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14F"/>
    <w:rPr>
      <w:rFonts w:ascii="Times New Roman" w:eastAsia="ＭＳ Ｐゴシック" w:hAnsi="Times New Roman"/>
    </w:rPr>
  </w:style>
  <w:style w:type="paragraph" w:styleId="a8">
    <w:name w:val="footer"/>
    <w:basedOn w:val="a"/>
    <w:link w:val="a9"/>
    <w:uiPriority w:val="99"/>
    <w:unhideWhenUsed/>
    <w:rsid w:val="007B0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14F"/>
    <w:rPr>
      <w:rFonts w:ascii="Times New Roman" w:eastAsia="ＭＳ Ｐ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ochi</dc:creator>
  <cp:keywords/>
  <dc:description/>
  <cp:lastModifiedBy>takako ochi</cp:lastModifiedBy>
  <cp:revision>2</cp:revision>
  <cp:lastPrinted>2015-06-03T02:36:00Z</cp:lastPrinted>
  <dcterms:created xsi:type="dcterms:W3CDTF">2016-04-29T07:29:00Z</dcterms:created>
  <dcterms:modified xsi:type="dcterms:W3CDTF">2016-04-29T07:29:00Z</dcterms:modified>
</cp:coreProperties>
</file>